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92A" w:rsidRDefault="0051192A">
      <w:pPr>
        <w:pStyle w:val="Corpodetexto"/>
        <w:spacing w:before="259"/>
        <w:rPr>
          <w:rFonts w:ascii="Times New Roman"/>
          <w:sz w:val="24"/>
        </w:rPr>
      </w:pPr>
    </w:p>
    <w:p w:rsidR="0051192A" w:rsidRDefault="00581787" w:rsidP="004274EC">
      <w:pPr>
        <w:spacing w:line="242" w:lineRule="auto"/>
        <w:jc w:val="both"/>
        <w:rPr>
          <w:b/>
        </w:rPr>
      </w:pPr>
      <w:r>
        <w:rPr>
          <w:b/>
        </w:rPr>
        <w:t xml:space="preserve">PROJETO DE LEI N°  </w:t>
      </w:r>
      <w:r w:rsidR="005B78A9">
        <w:rPr>
          <w:b/>
        </w:rPr>
        <w:t xml:space="preserve"> </w:t>
      </w:r>
      <w:r w:rsidR="00F07727">
        <w:rPr>
          <w:b/>
        </w:rPr>
        <w:t>/2026</w:t>
      </w:r>
    </w:p>
    <w:p w:rsidR="006635D4" w:rsidRDefault="006635D4" w:rsidP="004274EC">
      <w:pPr>
        <w:spacing w:line="242" w:lineRule="auto"/>
        <w:jc w:val="both"/>
        <w:rPr>
          <w:b/>
        </w:rPr>
      </w:pPr>
    </w:p>
    <w:p w:rsidR="009B5AD2" w:rsidRDefault="009B5AD2" w:rsidP="004274EC">
      <w:pPr>
        <w:spacing w:line="242" w:lineRule="auto"/>
        <w:jc w:val="both"/>
        <w:rPr>
          <w:b/>
        </w:rPr>
      </w:pPr>
    </w:p>
    <w:p w:rsidR="009B5AD2" w:rsidRDefault="00BD40E1" w:rsidP="009B5AD2">
      <w:pPr>
        <w:spacing w:line="242" w:lineRule="auto"/>
        <w:ind w:left="5387"/>
        <w:jc w:val="both"/>
        <w:rPr>
          <w:b/>
        </w:rPr>
      </w:pPr>
      <w:r>
        <w:rPr>
          <w:b/>
        </w:rPr>
        <w:t>“</w:t>
      </w:r>
      <w:r w:rsidR="009B5AD2">
        <w:rPr>
          <w:b/>
        </w:rPr>
        <w:t xml:space="preserve">ESTABELECE CRITÉRIOS PARA O RECONHECIMENTO DE ENTIDADES COMO DE UTILIDADE PÚBLICA NO ÂMBITO DE CAJAZEIRAS – PB E DÁ OUTRAS PROVIDÊNCIAS.” </w:t>
      </w:r>
    </w:p>
    <w:p w:rsidR="009B5AD2" w:rsidRDefault="009B5AD2" w:rsidP="009B5AD2">
      <w:pPr>
        <w:spacing w:line="242" w:lineRule="auto"/>
        <w:ind w:left="5387"/>
        <w:jc w:val="both"/>
        <w:rPr>
          <w:b/>
        </w:rPr>
      </w:pPr>
    </w:p>
    <w:p w:rsidR="009B5AD2" w:rsidRDefault="009B5AD2" w:rsidP="009B5AD2">
      <w:pPr>
        <w:spacing w:line="242" w:lineRule="auto"/>
        <w:ind w:left="5387"/>
        <w:jc w:val="both"/>
        <w:rPr>
          <w:b/>
        </w:rPr>
      </w:pPr>
    </w:p>
    <w:p w:rsidR="009B5AD2" w:rsidRDefault="009B5AD2" w:rsidP="009B5AD2">
      <w:pPr>
        <w:spacing w:line="242" w:lineRule="auto"/>
        <w:jc w:val="both"/>
        <w:rPr>
          <w:b/>
        </w:rPr>
      </w:pPr>
    </w:p>
    <w:p w:rsidR="00C16C71" w:rsidRDefault="00C16C71" w:rsidP="00C16C71">
      <w:pPr>
        <w:jc w:val="both"/>
        <w:rPr>
          <w:sz w:val="24"/>
          <w:szCs w:val="24"/>
        </w:rPr>
      </w:pPr>
      <w:r>
        <w:rPr>
          <w:sz w:val="24"/>
          <w:szCs w:val="24"/>
        </w:rPr>
        <w:t>A CÂMARA MUNICIPAL DE CAJAZEIRAS-PB, ESTADO DA PARAÍBA, RESOLVE:</w:t>
      </w:r>
    </w:p>
    <w:p w:rsidR="00C16C71" w:rsidRDefault="00C16C71" w:rsidP="009B5AD2">
      <w:pPr>
        <w:spacing w:line="242" w:lineRule="auto"/>
        <w:jc w:val="both"/>
        <w:rPr>
          <w:b/>
        </w:rPr>
      </w:pPr>
    </w:p>
    <w:p w:rsidR="00C16C71" w:rsidRDefault="00C16C71" w:rsidP="009B5AD2">
      <w:pPr>
        <w:spacing w:line="242" w:lineRule="auto"/>
        <w:jc w:val="both"/>
        <w:rPr>
          <w:b/>
        </w:rPr>
      </w:pPr>
    </w:p>
    <w:p w:rsidR="009B5AD2" w:rsidRDefault="009B5AD2" w:rsidP="009B5AD2">
      <w:pPr>
        <w:spacing w:line="242" w:lineRule="auto"/>
        <w:jc w:val="both"/>
      </w:pPr>
      <w:r>
        <w:rPr>
          <w:b/>
        </w:rPr>
        <w:t xml:space="preserve">Art. 1 – </w:t>
      </w:r>
      <w:r>
        <w:t xml:space="preserve">Poderão </w:t>
      </w:r>
      <w:r w:rsidR="000D6934">
        <w:t>ser declaradas de utilidade p</w:t>
      </w:r>
      <w:r>
        <w:t>ública municipal as associaçõs civis, fundações e demais entidade sem fins lucrativos que prestem relevante serviços de interesse coletivo á população de Cajazeiras – PB.</w:t>
      </w:r>
    </w:p>
    <w:p w:rsidR="009B5AD2" w:rsidRDefault="009B5AD2" w:rsidP="009B5AD2">
      <w:pPr>
        <w:spacing w:line="242" w:lineRule="auto"/>
        <w:jc w:val="both"/>
      </w:pPr>
    </w:p>
    <w:p w:rsidR="009B5AD2" w:rsidRPr="000D6934" w:rsidRDefault="009B5AD2" w:rsidP="009B5AD2">
      <w:pPr>
        <w:spacing w:line="242" w:lineRule="auto"/>
        <w:jc w:val="both"/>
      </w:pPr>
      <w:r w:rsidRPr="009B5AD2">
        <w:rPr>
          <w:b/>
        </w:rPr>
        <w:t xml:space="preserve">Art. 2 </w:t>
      </w:r>
      <w:r w:rsidR="000D6934">
        <w:rPr>
          <w:b/>
        </w:rPr>
        <w:t>–</w:t>
      </w:r>
      <w:r w:rsidRPr="009B5AD2">
        <w:rPr>
          <w:b/>
        </w:rPr>
        <w:t xml:space="preserve"> </w:t>
      </w:r>
      <w:r w:rsidR="000D6934">
        <w:t xml:space="preserve">Para obter o reconhecimento de utilidade pública municipal, a entidade deverá comprovar os seguintes requisitos: </w:t>
      </w:r>
    </w:p>
    <w:p w:rsidR="000D6934" w:rsidRDefault="000D6934" w:rsidP="000D6934">
      <w:pPr>
        <w:spacing w:line="242" w:lineRule="auto"/>
        <w:jc w:val="both"/>
        <w:rPr>
          <w:b/>
        </w:rPr>
      </w:pPr>
    </w:p>
    <w:p w:rsidR="000D6934" w:rsidRPr="00437821" w:rsidRDefault="000D6934" w:rsidP="000D6934">
      <w:pPr>
        <w:spacing w:line="242" w:lineRule="auto"/>
        <w:jc w:val="both"/>
      </w:pPr>
      <w:r w:rsidRPr="00437821">
        <w:t>I – possuir personalidade jurídica regulamente constitu</w:t>
      </w:r>
      <w:r w:rsidR="00F07727">
        <w:t>ída e registrada há pelo menos 1 (um ano</w:t>
      </w:r>
      <w:r w:rsidRPr="00437821">
        <w:t xml:space="preserve">); </w:t>
      </w:r>
    </w:p>
    <w:p w:rsidR="000D6934" w:rsidRPr="00437821" w:rsidRDefault="000D6934" w:rsidP="000D6934">
      <w:pPr>
        <w:spacing w:line="242" w:lineRule="auto"/>
        <w:jc w:val="both"/>
      </w:pPr>
    </w:p>
    <w:p w:rsidR="000D6934" w:rsidRDefault="000D6934" w:rsidP="000D6934">
      <w:pPr>
        <w:spacing w:line="242" w:lineRule="auto"/>
        <w:jc w:val="both"/>
      </w:pPr>
      <w:r w:rsidRPr="00437821">
        <w:t>II – estar</w:t>
      </w:r>
      <w:r>
        <w:t xml:space="preserve"> com CNPJ ativo e a situação fiscal regular;</w:t>
      </w:r>
    </w:p>
    <w:p w:rsidR="000D6934" w:rsidRDefault="000D6934" w:rsidP="000D6934">
      <w:pPr>
        <w:spacing w:line="242" w:lineRule="auto"/>
        <w:jc w:val="both"/>
      </w:pPr>
    </w:p>
    <w:p w:rsidR="000D6934" w:rsidRDefault="000D6934" w:rsidP="000D6934">
      <w:pPr>
        <w:spacing w:line="242" w:lineRule="auto"/>
        <w:jc w:val="both"/>
      </w:pPr>
      <w:r>
        <w:t>III –</w:t>
      </w:r>
      <w:r w:rsidR="006C4FFE">
        <w:t xml:space="preserve"> </w:t>
      </w:r>
      <w:r w:rsidR="00D969D5">
        <w:t>Possuir sede regulamente estabelecida no território do Município de Cajazeiras - PB</w:t>
      </w:r>
      <w:r w:rsidR="006C4FFE">
        <w:t>;</w:t>
      </w:r>
    </w:p>
    <w:p w:rsidR="006C4FFE" w:rsidRDefault="006C4FFE" w:rsidP="000D6934">
      <w:pPr>
        <w:spacing w:line="242" w:lineRule="auto"/>
        <w:jc w:val="both"/>
      </w:pPr>
    </w:p>
    <w:p w:rsidR="006C4FFE" w:rsidRDefault="006C4FFE" w:rsidP="000D6934">
      <w:pPr>
        <w:spacing w:line="242" w:lineRule="auto"/>
        <w:jc w:val="both"/>
      </w:pPr>
      <w:r>
        <w:t xml:space="preserve">IV – Comprovar atuação regular e </w:t>
      </w:r>
      <w:r w:rsidR="00D969D5">
        <w:t>continua e efetiva no território do Muncípio de Cajazeiras – PB, nos termos do regulamento</w:t>
      </w:r>
      <w:r>
        <w:t>;</w:t>
      </w:r>
    </w:p>
    <w:p w:rsidR="006C4FFE" w:rsidRDefault="006C4FFE" w:rsidP="000D6934">
      <w:pPr>
        <w:spacing w:line="242" w:lineRule="auto"/>
        <w:jc w:val="both"/>
      </w:pPr>
    </w:p>
    <w:p w:rsidR="000D6934" w:rsidRDefault="006C4FFE" w:rsidP="000D6934">
      <w:pPr>
        <w:spacing w:line="242" w:lineRule="auto"/>
        <w:jc w:val="both"/>
      </w:pPr>
      <w:r>
        <w:t>V</w:t>
      </w:r>
      <w:r w:rsidR="000D6934">
        <w:t xml:space="preserve"> – não possuir fins lucrativos, sendo vedada a distribuição de resultados, bonificações ou vantagens a dirigentes, mantenedores ou associados;</w:t>
      </w:r>
    </w:p>
    <w:p w:rsidR="000D6934" w:rsidRDefault="000D6934" w:rsidP="000D6934">
      <w:pPr>
        <w:spacing w:line="242" w:lineRule="auto"/>
        <w:jc w:val="both"/>
      </w:pPr>
    </w:p>
    <w:p w:rsidR="000D6934" w:rsidRDefault="006C4FFE" w:rsidP="000D6934">
      <w:pPr>
        <w:spacing w:line="242" w:lineRule="auto"/>
        <w:jc w:val="both"/>
      </w:pPr>
      <w:r>
        <w:t xml:space="preserve">VI </w:t>
      </w:r>
      <w:r w:rsidR="000D6934">
        <w:t xml:space="preserve">– apresentar estatuto social, ata de eleição da diretoria e relatório de atividades referentes aos últimos 12 (doze) meses; </w:t>
      </w:r>
    </w:p>
    <w:p w:rsidR="000D6934" w:rsidRDefault="000D6934" w:rsidP="000D6934">
      <w:pPr>
        <w:spacing w:line="242" w:lineRule="auto"/>
        <w:jc w:val="both"/>
      </w:pPr>
    </w:p>
    <w:p w:rsidR="000D6934" w:rsidRDefault="000D6934" w:rsidP="000D6934">
      <w:pPr>
        <w:spacing w:line="242" w:lineRule="auto"/>
        <w:jc w:val="both"/>
      </w:pPr>
      <w:r>
        <w:t>VI</w:t>
      </w:r>
      <w:r w:rsidR="006C4FFE">
        <w:t>I</w:t>
      </w:r>
      <w:r>
        <w:t xml:space="preserve"> – comprovar a realização de atividades de interesse público, em áreas como: </w:t>
      </w:r>
    </w:p>
    <w:p w:rsidR="000D6934" w:rsidRDefault="000D6934" w:rsidP="000D6934">
      <w:pPr>
        <w:spacing w:line="242" w:lineRule="auto"/>
        <w:jc w:val="both"/>
      </w:pPr>
    </w:p>
    <w:p w:rsidR="000D6934" w:rsidRDefault="000D6934" w:rsidP="000D6934">
      <w:pPr>
        <w:pStyle w:val="PargrafodaLista"/>
        <w:numPr>
          <w:ilvl w:val="0"/>
          <w:numId w:val="13"/>
        </w:numPr>
        <w:spacing w:line="242" w:lineRule="auto"/>
        <w:jc w:val="both"/>
      </w:pPr>
      <w:r>
        <w:t>Assistência Social;</w:t>
      </w:r>
    </w:p>
    <w:p w:rsidR="000D6934" w:rsidRDefault="000D6934" w:rsidP="000D6934">
      <w:pPr>
        <w:pStyle w:val="PargrafodaLista"/>
        <w:spacing w:line="242" w:lineRule="auto"/>
        <w:ind w:left="720" w:firstLine="0"/>
        <w:jc w:val="both"/>
      </w:pPr>
    </w:p>
    <w:p w:rsidR="000D6934" w:rsidRDefault="000D6934" w:rsidP="000D6934">
      <w:pPr>
        <w:pStyle w:val="PargrafodaLista"/>
        <w:numPr>
          <w:ilvl w:val="0"/>
          <w:numId w:val="13"/>
        </w:numPr>
        <w:spacing w:line="242" w:lineRule="auto"/>
        <w:jc w:val="both"/>
      </w:pPr>
      <w:r>
        <w:t xml:space="preserve">Educação; </w:t>
      </w:r>
    </w:p>
    <w:p w:rsidR="000D6934" w:rsidRDefault="000D6934" w:rsidP="000D6934">
      <w:pPr>
        <w:spacing w:line="242" w:lineRule="auto"/>
        <w:jc w:val="both"/>
      </w:pPr>
    </w:p>
    <w:p w:rsidR="000D6934" w:rsidRDefault="000D6934" w:rsidP="000D6934">
      <w:pPr>
        <w:pStyle w:val="PargrafodaLista"/>
        <w:numPr>
          <w:ilvl w:val="0"/>
          <w:numId w:val="13"/>
        </w:numPr>
        <w:spacing w:line="242" w:lineRule="auto"/>
        <w:jc w:val="both"/>
      </w:pPr>
      <w:r>
        <w:t>Saúde;</w:t>
      </w:r>
    </w:p>
    <w:p w:rsidR="000D6934" w:rsidRDefault="000D6934" w:rsidP="000D6934">
      <w:pPr>
        <w:spacing w:line="242" w:lineRule="auto"/>
        <w:jc w:val="both"/>
      </w:pPr>
    </w:p>
    <w:p w:rsidR="000D6934" w:rsidRDefault="000D6934" w:rsidP="000D6934">
      <w:pPr>
        <w:pStyle w:val="PargrafodaLista"/>
        <w:numPr>
          <w:ilvl w:val="0"/>
          <w:numId w:val="13"/>
        </w:numPr>
        <w:spacing w:line="242" w:lineRule="auto"/>
        <w:jc w:val="both"/>
      </w:pPr>
      <w:r>
        <w:t>Cultura;</w:t>
      </w:r>
    </w:p>
    <w:p w:rsidR="000D6934" w:rsidRDefault="000D6934" w:rsidP="000D6934">
      <w:pPr>
        <w:spacing w:line="242" w:lineRule="auto"/>
        <w:jc w:val="both"/>
      </w:pPr>
    </w:p>
    <w:p w:rsidR="000D6934" w:rsidRDefault="000D6934" w:rsidP="000D6934">
      <w:pPr>
        <w:pStyle w:val="PargrafodaLista"/>
        <w:numPr>
          <w:ilvl w:val="0"/>
          <w:numId w:val="13"/>
        </w:numPr>
        <w:spacing w:line="242" w:lineRule="auto"/>
        <w:jc w:val="both"/>
      </w:pPr>
      <w:r>
        <w:t>Esporte e Lazer;</w:t>
      </w:r>
    </w:p>
    <w:p w:rsidR="000D6934" w:rsidRDefault="000D6934" w:rsidP="000D6934">
      <w:pPr>
        <w:spacing w:line="242" w:lineRule="auto"/>
        <w:jc w:val="both"/>
      </w:pPr>
    </w:p>
    <w:p w:rsidR="000D6934" w:rsidRDefault="000D6934" w:rsidP="000D6934">
      <w:pPr>
        <w:pStyle w:val="PargrafodaLista"/>
        <w:numPr>
          <w:ilvl w:val="0"/>
          <w:numId w:val="13"/>
        </w:numPr>
        <w:spacing w:line="242" w:lineRule="auto"/>
        <w:jc w:val="both"/>
      </w:pPr>
      <w:r>
        <w:lastRenderedPageBreak/>
        <w:t xml:space="preserve">Meio ambiente; </w:t>
      </w:r>
    </w:p>
    <w:p w:rsidR="000D6934" w:rsidRDefault="000D6934" w:rsidP="000D6934">
      <w:pPr>
        <w:spacing w:line="242" w:lineRule="auto"/>
        <w:jc w:val="both"/>
      </w:pPr>
    </w:p>
    <w:p w:rsidR="000D6934" w:rsidRDefault="000D6934" w:rsidP="000D6934">
      <w:pPr>
        <w:pStyle w:val="PargrafodaLista"/>
        <w:numPr>
          <w:ilvl w:val="0"/>
          <w:numId w:val="13"/>
        </w:numPr>
        <w:spacing w:line="242" w:lineRule="auto"/>
        <w:jc w:val="both"/>
      </w:pPr>
      <w:r>
        <w:t xml:space="preserve">Defesa de Direitos Humanos; ou </w:t>
      </w:r>
    </w:p>
    <w:p w:rsidR="000D6934" w:rsidRDefault="000D6934" w:rsidP="000D6934">
      <w:pPr>
        <w:spacing w:line="242" w:lineRule="auto"/>
        <w:jc w:val="both"/>
      </w:pPr>
    </w:p>
    <w:p w:rsidR="000D6934" w:rsidRDefault="000D6934" w:rsidP="000D6934">
      <w:pPr>
        <w:pStyle w:val="PargrafodaLista"/>
        <w:numPr>
          <w:ilvl w:val="0"/>
          <w:numId w:val="13"/>
        </w:numPr>
        <w:spacing w:line="242" w:lineRule="auto"/>
        <w:jc w:val="both"/>
      </w:pPr>
      <w:r>
        <w:t>Desenvolvimento comunitário;</w:t>
      </w:r>
    </w:p>
    <w:p w:rsidR="000D6934" w:rsidRDefault="000D6934" w:rsidP="000D6934">
      <w:pPr>
        <w:pStyle w:val="PargrafodaLista"/>
      </w:pPr>
    </w:p>
    <w:p w:rsidR="000D6934" w:rsidRDefault="000D6934" w:rsidP="000D6934">
      <w:pPr>
        <w:pStyle w:val="PargrafodaLista"/>
        <w:spacing w:line="242" w:lineRule="auto"/>
        <w:ind w:left="0" w:firstLine="0"/>
        <w:jc w:val="both"/>
      </w:pPr>
      <w:r>
        <w:t>VII</w:t>
      </w:r>
      <w:r w:rsidR="006C4FFE">
        <w:t>I</w:t>
      </w:r>
      <w:r>
        <w:t xml:space="preserve"> – manter regularidade júridica, contábil e administrativa, com escrituração contábil regular e prestação de contas à assembleia da entidade;</w:t>
      </w:r>
    </w:p>
    <w:p w:rsidR="000D6934" w:rsidRDefault="000D6934" w:rsidP="000D6934">
      <w:pPr>
        <w:pStyle w:val="PargrafodaLista"/>
        <w:spacing w:line="242" w:lineRule="auto"/>
        <w:ind w:left="0" w:firstLine="0"/>
        <w:jc w:val="both"/>
      </w:pPr>
    </w:p>
    <w:p w:rsidR="000D6934" w:rsidRDefault="006C4FFE" w:rsidP="000D6934">
      <w:pPr>
        <w:pStyle w:val="PargrafodaLista"/>
        <w:spacing w:line="242" w:lineRule="auto"/>
        <w:ind w:left="0" w:firstLine="0"/>
        <w:jc w:val="both"/>
      </w:pPr>
      <w:r>
        <w:t>IX</w:t>
      </w:r>
      <w:r w:rsidR="000D6934">
        <w:t xml:space="preserve"> – não estar impedida de contratar com o poder público nem possuir dirigentes condenados por improbidade adminstrativa.</w:t>
      </w:r>
    </w:p>
    <w:p w:rsidR="000D6934" w:rsidRDefault="000D6934" w:rsidP="000D6934">
      <w:pPr>
        <w:pStyle w:val="PargrafodaLista"/>
        <w:spacing w:line="242" w:lineRule="auto"/>
        <w:ind w:left="0" w:firstLine="0"/>
        <w:jc w:val="both"/>
      </w:pPr>
    </w:p>
    <w:p w:rsidR="000D6934" w:rsidRDefault="000D6934" w:rsidP="000D6934">
      <w:pPr>
        <w:pStyle w:val="PargrafodaLista"/>
        <w:spacing w:line="242" w:lineRule="auto"/>
        <w:ind w:left="0" w:firstLine="0"/>
        <w:jc w:val="both"/>
      </w:pPr>
      <w:r w:rsidRPr="00437821">
        <w:rPr>
          <w:b/>
        </w:rPr>
        <w:t>Art. 3° -</w:t>
      </w:r>
      <w:r>
        <w:t xml:space="preserve"> O pedido de reconhecimento sera encaminhado á Câmara Municipal de Cajazeiras – PB, acompanhado da documentação comprobatória, para análise e elabora</w:t>
      </w:r>
      <w:r w:rsidR="00767957">
        <w:t>ção de projeto de lei específica</w:t>
      </w:r>
      <w:r>
        <w:t xml:space="preserve">. </w:t>
      </w:r>
    </w:p>
    <w:p w:rsidR="00437821" w:rsidRDefault="00437821" w:rsidP="000D6934">
      <w:pPr>
        <w:pStyle w:val="PargrafodaLista"/>
        <w:spacing w:line="242" w:lineRule="auto"/>
        <w:ind w:left="0" w:firstLine="0"/>
        <w:jc w:val="both"/>
      </w:pPr>
    </w:p>
    <w:p w:rsidR="00437821" w:rsidRDefault="00437821" w:rsidP="000D6934">
      <w:pPr>
        <w:pStyle w:val="PargrafodaLista"/>
        <w:spacing w:line="242" w:lineRule="auto"/>
        <w:ind w:left="0" w:firstLine="0"/>
        <w:jc w:val="both"/>
      </w:pPr>
      <w:r w:rsidRPr="00437821">
        <w:rPr>
          <w:b/>
        </w:rPr>
        <w:t>Art. 4°-</w:t>
      </w:r>
      <w:r>
        <w:t xml:space="preserve"> As entidades reconhecidas como utilidade pública municipal deverão:</w:t>
      </w:r>
    </w:p>
    <w:p w:rsidR="00437821" w:rsidRDefault="00437821" w:rsidP="000D6934">
      <w:pPr>
        <w:pStyle w:val="PargrafodaLista"/>
        <w:spacing w:line="242" w:lineRule="auto"/>
        <w:ind w:left="0" w:firstLine="0"/>
        <w:jc w:val="both"/>
      </w:pPr>
    </w:p>
    <w:p w:rsidR="00437821" w:rsidRDefault="00437821" w:rsidP="000D6934">
      <w:pPr>
        <w:pStyle w:val="PargrafodaLista"/>
        <w:spacing w:line="242" w:lineRule="auto"/>
        <w:ind w:left="0" w:firstLine="0"/>
        <w:jc w:val="both"/>
      </w:pPr>
      <w:r>
        <w:t>I – manter atualizados seus dados cadastrais junto ao Poder Público Municipal;</w:t>
      </w:r>
    </w:p>
    <w:p w:rsidR="00437821" w:rsidRDefault="00437821" w:rsidP="000D6934">
      <w:pPr>
        <w:pStyle w:val="PargrafodaLista"/>
        <w:spacing w:line="242" w:lineRule="auto"/>
        <w:ind w:left="0" w:firstLine="0"/>
        <w:jc w:val="both"/>
      </w:pPr>
    </w:p>
    <w:p w:rsidR="00437821" w:rsidRDefault="00437821" w:rsidP="000D6934">
      <w:pPr>
        <w:pStyle w:val="PargrafodaLista"/>
        <w:spacing w:line="242" w:lineRule="auto"/>
        <w:ind w:left="0" w:firstLine="0"/>
        <w:jc w:val="both"/>
      </w:pPr>
      <w:r>
        <w:t>II – encaminhar, quando solicitado, relatório anual de atividade e demonstrações contábeis;</w:t>
      </w:r>
    </w:p>
    <w:p w:rsidR="00437821" w:rsidRDefault="00437821" w:rsidP="000D6934">
      <w:pPr>
        <w:pStyle w:val="PargrafodaLista"/>
        <w:spacing w:line="242" w:lineRule="auto"/>
        <w:ind w:left="0" w:firstLine="0"/>
        <w:jc w:val="both"/>
      </w:pPr>
    </w:p>
    <w:p w:rsidR="00437821" w:rsidRDefault="00437821" w:rsidP="000D6934">
      <w:pPr>
        <w:pStyle w:val="PargrafodaLista"/>
        <w:spacing w:line="242" w:lineRule="auto"/>
        <w:ind w:left="0" w:firstLine="0"/>
        <w:jc w:val="both"/>
      </w:pPr>
      <w:r>
        <w:t>III – comunicar quaisquer alterações estatutárias, mudança de diretoria ou enceramento das atividades.</w:t>
      </w:r>
    </w:p>
    <w:p w:rsidR="000D6934" w:rsidRDefault="000D6934" w:rsidP="000D6934">
      <w:pPr>
        <w:pStyle w:val="PargrafodaLista"/>
        <w:spacing w:line="242" w:lineRule="auto"/>
        <w:ind w:left="0" w:firstLine="0"/>
        <w:jc w:val="both"/>
      </w:pPr>
    </w:p>
    <w:p w:rsidR="000D6934" w:rsidRDefault="00437821" w:rsidP="000D6934">
      <w:pPr>
        <w:pStyle w:val="PargrafodaLista"/>
        <w:spacing w:line="242" w:lineRule="auto"/>
        <w:ind w:left="0" w:firstLine="0"/>
        <w:jc w:val="both"/>
      </w:pPr>
      <w:r w:rsidRPr="00437821">
        <w:rPr>
          <w:b/>
        </w:rPr>
        <w:t>Art. 5°-</w:t>
      </w:r>
      <w:r>
        <w:t xml:space="preserve"> </w:t>
      </w:r>
      <w:r w:rsidR="000D6934">
        <w:t>A</w:t>
      </w:r>
      <w:r>
        <w:t xml:space="preserve"> declaração de u</w:t>
      </w:r>
      <w:r w:rsidR="000D6934">
        <w:t xml:space="preserve">tilidade Pública não implica concessao automática de benefícios financeiros, sendo necessária a celebração de convênios ou termos específicos confome a legislção vigente. </w:t>
      </w:r>
    </w:p>
    <w:p w:rsidR="0033369F" w:rsidRPr="0033369F" w:rsidRDefault="00437821" w:rsidP="0033369F">
      <w:pPr>
        <w:pStyle w:val="NormalWeb"/>
        <w:jc w:val="both"/>
        <w:rPr>
          <w:rFonts w:ascii="Arial" w:hAnsi="Arial" w:cs="Arial"/>
          <w:sz w:val="22"/>
          <w:szCs w:val="22"/>
        </w:rPr>
      </w:pPr>
      <w:r w:rsidRPr="0033369F">
        <w:rPr>
          <w:rFonts w:ascii="Arial" w:hAnsi="Arial" w:cs="Arial"/>
          <w:b/>
          <w:sz w:val="22"/>
          <w:szCs w:val="22"/>
        </w:rPr>
        <w:t>Art. 6°-</w:t>
      </w:r>
      <w:r w:rsidRPr="0033369F">
        <w:rPr>
          <w:rFonts w:ascii="Arial" w:hAnsi="Arial" w:cs="Arial"/>
          <w:sz w:val="22"/>
          <w:szCs w:val="22"/>
        </w:rPr>
        <w:t xml:space="preserve"> </w:t>
      </w:r>
      <w:r w:rsidR="0033369F" w:rsidRPr="0033369F">
        <w:rPr>
          <w:rFonts w:ascii="Arial" w:hAnsi="Arial" w:cs="Arial"/>
          <w:sz w:val="22"/>
          <w:szCs w:val="22"/>
        </w:rPr>
        <w:t>O título de utilidade pública municipal, concedido por lei específica, somente poderá ser revogado mediante edição de nova lei, observando-se o devido processo legislativo, quando comprovado que a entidade deixou de atender aos requisitos estabelecidos nesta Lei ou praticou irregularidade grave incompatível com a manutenção do título.</w:t>
      </w:r>
    </w:p>
    <w:p w:rsidR="0033369F" w:rsidRPr="0033369F" w:rsidRDefault="0033369F" w:rsidP="0033369F">
      <w:pPr>
        <w:pStyle w:val="NormalWeb"/>
        <w:jc w:val="both"/>
        <w:rPr>
          <w:rFonts w:ascii="Arial" w:hAnsi="Arial" w:cs="Arial"/>
          <w:sz w:val="22"/>
          <w:szCs w:val="22"/>
        </w:rPr>
      </w:pPr>
      <w:r w:rsidRPr="0033369F">
        <w:rPr>
          <w:rFonts w:ascii="Arial" w:hAnsi="Arial" w:cs="Arial"/>
          <w:sz w:val="22"/>
          <w:szCs w:val="22"/>
        </w:rPr>
        <w:t>§ 1º A revogação poderá ser precedida de processo administrativo instaurado pelo Poder Executivo para apuração dos fatos, assegurados o contraditório e a ampla defesa.</w:t>
      </w:r>
    </w:p>
    <w:p w:rsidR="0033369F" w:rsidRPr="0033369F" w:rsidRDefault="0033369F" w:rsidP="0033369F">
      <w:pPr>
        <w:pStyle w:val="NormalWeb"/>
        <w:jc w:val="both"/>
        <w:rPr>
          <w:rFonts w:ascii="Arial" w:hAnsi="Arial" w:cs="Arial"/>
          <w:sz w:val="22"/>
          <w:szCs w:val="22"/>
        </w:rPr>
      </w:pPr>
      <w:r w:rsidRPr="0033369F">
        <w:rPr>
          <w:rFonts w:ascii="Arial" w:hAnsi="Arial" w:cs="Arial"/>
          <w:sz w:val="22"/>
          <w:szCs w:val="22"/>
        </w:rPr>
        <w:t>§ 2º Concluído o processo administrativo pela constatação de irregularidade, o Poder Executivo encaminhará à Câmara Municipal o respectivo projeto de lei de revogação.</w:t>
      </w:r>
    </w:p>
    <w:p w:rsidR="00437821" w:rsidRPr="0033369F" w:rsidRDefault="0033369F" w:rsidP="0033369F">
      <w:pPr>
        <w:pStyle w:val="NormalWeb"/>
        <w:jc w:val="both"/>
        <w:rPr>
          <w:rFonts w:ascii="Arial" w:hAnsi="Arial" w:cs="Arial"/>
          <w:sz w:val="22"/>
          <w:szCs w:val="22"/>
        </w:rPr>
      </w:pPr>
      <w:r w:rsidRPr="0033369F">
        <w:rPr>
          <w:rFonts w:ascii="Arial" w:hAnsi="Arial" w:cs="Arial"/>
          <w:sz w:val="22"/>
          <w:szCs w:val="22"/>
        </w:rPr>
        <w:t>§ 3º A lei revogatória deverá ser devidamente fundamentada.</w:t>
      </w:r>
    </w:p>
    <w:p w:rsidR="004274EC" w:rsidRDefault="00437821" w:rsidP="00767957">
      <w:pPr>
        <w:pStyle w:val="PargrafodaLista"/>
        <w:spacing w:line="242" w:lineRule="auto"/>
        <w:ind w:left="0" w:firstLine="0"/>
        <w:jc w:val="both"/>
      </w:pPr>
      <w:r w:rsidRPr="00437821">
        <w:rPr>
          <w:b/>
        </w:rPr>
        <w:t>Art. 7° -</w:t>
      </w:r>
      <w:r>
        <w:t xml:space="preserve"> Esta Lei entra em Vigor na data de sua públicação.</w:t>
      </w:r>
    </w:p>
    <w:p w:rsidR="004274EC" w:rsidRDefault="004274EC" w:rsidP="004274EC">
      <w:pPr>
        <w:spacing w:line="242" w:lineRule="auto"/>
        <w:jc w:val="center"/>
      </w:pPr>
    </w:p>
    <w:p w:rsidR="00767957" w:rsidRDefault="004274EC" w:rsidP="00767957">
      <w:pPr>
        <w:spacing w:line="242" w:lineRule="auto"/>
        <w:jc w:val="center"/>
        <w:rPr>
          <w:b/>
          <w:sz w:val="24"/>
          <w:szCs w:val="24"/>
        </w:rPr>
      </w:pPr>
      <w:r w:rsidRPr="004274EC">
        <w:rPr>
          <w:b/>
          <w:sz w:val="24"/>
          <w:szCs w:val="24"/>
        </w:rPr>
        <w:t xml:space="preserve">PLENÁRIO EDMILSON FEITOSA CAVALCANTE, </w:t>
      </w:r>
      <w:r w:rsidR="00432A62">
        <w:rPr>
          <w:b/>
          <w:sz w:val="24"/>
          <w:szCs w:val="24"/>
        </w:rPr>
        <w:t>03</w:t>
      </w:r>
      <w:r>
        <w:rPr>
          <w:b/>
          <w:sz w:val="24"/>
          <w:szCs w:val="24"/>
        </w:rPr>
        <w:t xml:space="preserve"> DE </w:t>
      </w:r>
      <w:r w:rsidR="00432A62">
        <w:rPr>
          <w:b/>
          <w:sz w:val="24"/>
          <w:szCs w:val="24"/>
        </w:rPr>
        <w:t>MARÇO</w:t>
      </w:r>
      <w:r w:rsidR="00F07727">
        <w:rPr>
          <w:b/>
          <w:sz w:val="24"/>
          <w:szCs w:val="24"/>
        </w:rPr>
        <w:t xml:space="preserve"> DE 2026</w:t>
      </w:r>
    </w:p>
    <w:p w:rsidR="004274EC" w:rsidRPr="00767957" w:rsidRDefault="00767957" w:rsidP="00767957">
      <w:pPr>
        <w:spacing w:line="242" w:lineRule="auto"/>
        <w:jc w:val="center"/>
        <w:rPr>
          <w:b/>
          <w:sz w:val="24"/>
          <w:szCs w:val="24"/>
        </w:rPr>
      </w:pPr>
      <w:r>
        <w:rPr>
          <w:b/>
          <w:noProof/>
          <w:lang w:val="pt-BR" w:eastAsia="pt-BR"/>
        </w:rPr>
        <w:drawing>
          <wp:anchor distT="0" distB="0" distL="0" distR="0" simplePos="0" relativeHeight="251659264" behindDoc="1" locked="0" layoutInCell="1" allowOverlap="1" wp14:anchorId="6063F08C" wp14:editId="751025F7">
            <wp:simplePos x="0" y="0"/>
            <wp:positionH relativeFrom="margin">
              <wp:posOffset>1285875</wp:posOffset>
            </wp:positionH>
            <wp:positionV relativeFrom="paragraph">
              <wp:posOffset>85090</wp:posOffset>
            </wp:positionV>
            <wp:extent cx="3543300" cy="334645"/>
            <wp:effectExtent l="0" t="0" r="0" b="825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543300" cy="334645"/>
                    </a:xfrm>
                    <a:prstGeom prst="rect">
                      <a:avLst/>
                    </a:prstGeom>
                  </pic:spPr>
                </pic:pic>
              </a:graphicData>
            </a:graphic>
            <wp14:sizeRelH relativeFrom="margin">
              <wp14:pctWidth>0</wp14:pctWidth>
            </wp14:sizeRelH>
            <wp14:sizeRelV relativeFrom="margin">
              <wp14:pctHeight>0</wp14:pctHeight>
            </wp14:sizeRelV>
          </wp:anchor>
        </w:drawing>
      </w:r>
    </w:p>
    <w:p w:rsidR="0051192A" w:rsidRDefault="004274EC" w:rsidP="0026723C">
      <w:pPr>
        <w:pStyle w:val="PargrafodaLista"/>
        <w:spacing w:before="100" w:beforeAutospacing="1" w:after="100" w:afterAutospacing="1"/>
        <w:ind w:left="0" w:firstLine="0"/>
        <w:jc w:val="center"/>
        <w:rPr>
          <w:b/>
        </w:rPr>
      </w:pPr>
      <w:r>
        <w:rPr>
          <w:b/>
        </w:rPr>
        <w:t>ANTONIO HELANO VIEIRA DA SILVA SEGUNDO</w:t>
      </w:r>
    </w:p>
    <w:p w:rsidR="0033369F" w:rsidRDefault="00437821" w:rsidP="00767957">
      <w:pPr>
        <w:pStyle w:val="PargrafodaLista"/>
        <w:spacing w:before="100" w:beforeAutospacing="1" w:after="100" w:afterAutospacing="1"/>
        <w:ind w:left="0" w:firstLine="0"/>
        <w:jc w:val="center"/>
        <w:rPr>
          <w:b/>
        </w:rPr>
      </w:pPr>
      <w:r>
        <w:rPr>
          <w:b/>
        </w:rPr>
        <w:t>VEREADOR – PP</w:t>
      </w:r>
    </w:p>
    <w:p w:rsidR="0033369F" w:rsidRDefault="0033369F" w:rsidP="0033369F">
      <w:pPr>
        <w:spacing w:before="100" w:beforeAutospacing="1" w:after="100" w:afterAutospacing="1"/>
        <w:jc w:val="center"/>
        <w:rPr>
          <w:b/>
        </w:rPr>
      </w:pPr>
      <w:r>
        <w:rPr>
          <w:b/>
        </w:rPr>
        <w:lastRenderedPageBreak/>
        <w:t>JUSTIFICATIVA</w:t>
      </w:r>
    </w:p>
    <w:p w:rsidR="0033369F" w:rsidRPr="0033369F" w:rsidRDefault="0033369F" w:rsidP="0033369F">
      <w:pPr>
        <w:pStyle w:val="NormalWeb"/>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3369F">
        <w:rPr>
          <w:rFonts w:ascii="Arial" w:hAnsi="Arial" w:cs="Arial"/>
          <w:sz w:val="22"/>
          <w:szCs w:val="22"/>
        </w:rPr>
        <w:t xml:space="preserve">O presente Projeto de Lei tem por escopo instituir critérios normativos objetivos para o reconhecimento de entidades como de Utilidade Pública no âmbito do Município de </w:t>
      </w:r>
      <w:r w:rsidRPr="0033369F">
        <w:rPr>
          <w:rStyle w:val="whitespace-normal"/>
          <w:rFonts w:ascii="Arial" w:hAnsi="Arial" w:cs="Arial"/>
          <w:sz w:val="22"/>
          <w:szCs w:val="22"/>
        </w:rPr>
        <w:t>Cajazeiras</w:t>
      </w:r>
      <w:r w:rsidRPr="0033369F">
        <w:rPr>
          <w:rFonts w:ascii="Arial" w:hAnsi="Arial" w:cs="Arial"/>
          <w:sz w:val="22"/>
          <w:szCs w:val="22"/>
        </w:rPr>
        <w:t xml:space="preserve"> – PB, estabelecendo requisitos formais e materiais, procedimento administrativo próprio e mecani</w:t>
      </w:r>
      <w:r>
        <w:rPr>
          <w:rFonts w:ascii="Arial" w:hAnsi="Arial" w:cs="Arial"/>
          <w:sz w:val="22"/>
          <w:szCs w:val="22"/>
        </w:rPr>
        <w:t>smos de controle e fiscalização.</w:t>
      </w:r>
    </w:p>
    <w:p w:rsidR="0033369F" w:rsidRPr="0033369F" w:rsidRDefault="0033369F" w:rsidP="0033369F">
      <w:pPr>
        <w:pStyle w:val="NormalWeb"/>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3369F">
        <w:rPr>
          <w:rFonts w:ascii="Arial" w:hAnsi="Arial" w:cs="Arial"/>
          <w:sz w:val="22"/>
          <w:szCs w:val="22"/>
        </w:rPr>
        <w:t>A proposição fundamenta-se na competência legislativa do Município para dispor sobre assuntos de interesse local e para organizar a administração pública municipal, nos termos do art. 30, incisos I e II, da Constituição Federal, bem como na necessidade de observância dos princípios que regem a Administração Pública, previstos no art. 37 da Constituição da República, especialmente os da legalidade, impessoalidade, moralidade, publicidade e eficiência.</w:t>
      </w:r>
    </w:p>
    <w:p w:rsidR="0033369F" w:rsidRPr="0033369F" w:rsidRDefault="0033369F" w:rsidP="0033369F">
      <w:pPr>
        <w:pStyle w:val="NormalWeb"/>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3369F">
        <w:rPr>
          <w:rFonts w:ascii="Arial" w:hAnsi="Arial" w:cs="Arial"/>
          <w:sz w:val="22"/>
          <w:szCs w:val="22"/>
        </w:rPr>
        <w:t>A ausência de critérios previamente definidos para a concessão do título de Utilidade Pública pode ensejar discricionariedade excessiva, fragilizando a segurança jurídica e a isonomia entre as entidades postulantes. Nesse contexto, a presente iniciativa visa conferir objetividade ao processo de reconhecimento, estabelecendo parâmetros claros quanto à regular constituição da entidade, tempo mínimo de funcionamento, finalidade não lucrativa, efetiva atuação em prol da coletividade, regularidade fiscal e prestação de contas.</w:t>
      </w:r>
    </w:p>
    <w:p w:rsidR="0033369F" w:rsidRPr="0033369F" w:rsidRDefault="0033369F" w:rsidP="0033369F">
      <w:pPr>
        <w:pStyle w:val="NormalWeb"/>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3369F">
        <w:rPr>
          <w:rFonts w:ascii="Arial" w:hAnsi="Arial" w:cs="Arial"/>
          <w:sz w:val="22"/>
          <w:szCs w:val="22"/>
        </w:rPr>
        <w:t>O reconhecimento de Utilidade Pública constitui ato administrativo de natureza declaratória, pelo qual o Poder Público atesta que determinada entidade privada sem fins lucrativos desenvolve atividades de relevante interesse social. Tal reconhecimento, embora não implique, por si só, concessão automática de benefícios financeiros, pode produzir efeitos jurídicos relevantes, razão pela qual se faz imprescindível a previsão de requisitos rigorosos e mecanismos de fiscalização contínua.</w:t>
      </w:r>
    </w:p>
    <w:p w:rsidR="00767957" w:rsidRPr="00767957" w:rsidRDefault="0033369F" w:rsidP="00767957">
      <w:pPr>
        <w:pStyle w:val="NormalWeb"/>
        <w:jc w:val="both"/>
        <w:rPr>
          <w:rFonts w:ascii="Arial" w:hAnsi="Arial" w:cs="Arial"/>
          <w:sz w:val="22"/>
          <w:szCs w:val="22"/>
        </w:rPr>
      </w:pPr>
      <w:r>
        <w:rPr>
          <w:rFonts w:ascii="Arial" w:hAnsi="Arial" w:cs="Arial"/>
          <w:sz w:val="22"/>
          <w:szCs w:val="22"/>
        </w:rPr>
        <w:tab/>
      </w:r>
      <w:r>
        <w:rPr>
          <w:rFonts w:ascii="Arial" w:hAnsi="Arial" w:cs="Arial"/>
          <w:sz w:val="22"/>
          <w:szCs w:val="22"/>
        </w:rPr>
        <w:tab/>
      </w:r>
      <w:r w:rsidRPr="00767957">
        <w:rPr>
          <w:rFonts w:ascii="Arial" w:hAnsi="Arial" w:cs="Arial"/>
          <w:sz w:val="22"/>
          <w:szCs w:val="22"/>
        </w:rPr>
        <w:t xml:space="preserve">O projeto também prevê hipóteses de revogação do reconhecimento, em caso de desvio de finalidade, irregularidades na gestão ou descumprimento das exigências legais, garantindo-se o devido processo administrativo, com observância do </w:t>
      </w:r>
      <w:r w:rsidR="00767957" w:rsidRPr="00767957">
        <w:rPr>
          <w:rFonts w:ascii="Arial" w:hAnsi="Arial" w:cs="Arial"/>
          <w:sz w:val="22"/>
          <w:szCs w:val="22"/>
        </w:rPr>
        <w:t>contraditório e da ampla defesa</w:t>
      </w:r>
      <w:r w:rsidR="00767957">
        <w:rPr>
          <w:rFonts w:ascii="Arial" w:hAnsi="Arial" w:cs="Arial"/>
          <w:sz w:val="22"/>
          <w:szCs w:val="22"/>
        </w:rPr>
        <w:t>.</w:t>
      </w:r>
      <w:r w:rsidR="00767957" w:rsidRPr="00767957">
        <w:rPr>
          <w:rFonts w:ascii="Arial" w:hAnsi="Arial" w:cs="Arial"/>
          <w:sz w:val="22"/>
          <w:szCs w:val="22"/>
        </w:rPr>
        <w:t xml:space="preserve"> </w:t>
      </w:r>
      <w:r w:rsidR="00767957" w:rsidRPr="00767957">
        <w:rPr>
          <w:rFonts w:ascii="Arial" w:hAnsi="Arial" w:cs="Arial"/>
          <w:sz w:val="22"/>
          <w:szCs w:val="22"/>
        </w:rPr>
        <w:t>Considerando que o título de utilidade pública é concedido por meio de lei específica, sua revogação exige igualmente a edição de nova lei, não sendo juridicamente possível sua cassação por simples decreto do Poder Executivo, sob pena de violação à hierarquia normativa e à competência legislativa.</w:t>
      </w:r>
    </w:p>
    <w:p w:rsidR="0033369F" w:rsidRPr="00767957" w:rsidRDefault="00767957" w:rsidP="00767957">
      <w:pPr>
        <w:pStyle w:val="NormalWeb"/>
        <w:jc w:val="both"/>
        <w:rPr>
          <w:rFonts w:ascii="Arial" w:hAnsi="Arial" w:cs="Arial"/>
          <w:sz w:val="22"/>
          <w:szCs w:val="22"/>
        </w:rPr>
      </w:pPr>
      <w:r w:rsidRPr="00767957">
        <w:rPr>
          <w:rFonts w:ascii="Arial" w:hAnsi="Arial" w:cs="Arial"/>
          <w:sz w:val="22"/>
          <w:szCs w:val="22"/>
        </w:rPr>
        <w:t>A previsão de prévia apuração administrativa confere maior segurança jurídica, transparência e respeito aos direitos da entidade eventualmente atingida.</w:t>
      </w:r>
    </w:p>
    <w:p w:rsidR="0033369F" w:rsidRPr="00767957" w:rsidRDefault="0033369F" w:rsidP="00767957">
      <w:pPr>
        <w:pStyle w:val="NormalWeb"/>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3369F">
        <w:rPr>
          <w:rFonts w:ascii="Arial" w:hAnsi="Arial" w:cs="Arial"/>
          <w:sz w:val="22"/>
          <w:szCs w:val="22"/>
        </w:rPr>
        <w:t>Assim, a proposta fortalece o controle institucional, assegura maior transparência na relação entre o Poder Público e as organizações da sociedade civil e contribui para a adequada destinação de eventuais benefícios e parcerias, alinhando-se às boas práticas de governança pública e ao regime jurídico aplicável às entidades do terceiro setor.</w:t>
      </w:r>
      <w:bookmarkStart w:id="0" w:name="_GoBack"/>
      <w:bookmarkEnd w:id="0"/>
    </w:p>
    <w:p w:rsidR="0033369F" w:rsidRPr="00437821" w:rsidRDefault="0033369F" w:rsidP="0033369F">
      <w:pPr>
        <w:spacing w:before="100" w:beforeAutospacing="1" w:after="100" w:afterAutospacing="1"/>
        <w:jc w:val="center"/>
        <w:rPr>
          <w:b/>
        </w:rPr>
      </w:pPr>
      <w:r>
        <w:rPr>
          <w:b/>
          <w:noProof/>
          <w:lang w:val="pt-BR" w:eastAsia="pt-BR"/>
        </w:rPr>
        <w:drawing>
          <wp:anchor distT="0" distB="0" distL="0" distR="0" simplePos="0" relativeHeight="251661312" behindDoc="1" locked="0" layoutInCell="1" allowOverlap="1" wp14:anchorId="5A205D6C" wp14:editId="26ACD812">
            <wp:simplePos x="0" y="0"/>
            <wp:positionH relativeFrom="margin">
              <wp:posOffset>1247775</wp:posOffset>
            </wp:positionH>
            <wp:positionV relativeFrom="paragraph">
              <wp:posOffset>9525</wp:posOffset>
            </wp:positionV>
            <wp:extent cx="3543300" cy="334645"/>
            <wp:effectExtent l="0" t="0" r="0" b="8255"/>
            <wp:wrapNone/>
            <wp:docPr id="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543300" cy="334645"/>
                    </a:xfrm>
                    <a:prstGeom prst="rect">
                      <a:avLst/>
                    </a:prstGeom>
                  </pic:spPr>
                </pic:pic>
              </a:graphicData>
            </a:graphic>
            <wp14:sizeRelH relativeFrom="margin">
              <wp14:pctWidth>0</wp14:pctWidth>
            </wp14:sizeRelH>
            <wp14:sizeRelV relativeFrom="margin">
              <wp14:pctHeight>0</wp14:pctHeight>
            </wp14:sizeRelV>
          </wp:anchor>
        </w:drawing>
      </w:r>
    </w:p>
    <w:p w:rsidR="0033369F" w:rsidRDefault="0033369F" w:rsidP="0033369F">
      <w:pPr>
        <w:pStyle w:val="PargrafodaLista"/>
        <w:spacing w:before="100" w:beforeAutospacing="1" w:after="100" w:afterAutospacing="1"/>
        <w:ind w:left="0" w:firstLine="0"/>
        <w:jc w:val="center"/>
        <w:rPr>
          <w:b/>
        </w:rPr>
      </w:pPr>
      <w:r>
        <w:rPr>
          <w:b/>
        </w:rPr>
        <w:t>ANTONIO HELANO VIEIRA DA SILVA SEGUNDO</w:t>
      </w:r>
    </w:p>
    <w:p w:rsidR="0033369F" w:rsidRPr="00437821" w:rsidRDefault="0033369F" w:rsidP="0033369F">
      <w:pPr>
        <w:pStyle w:val="PargrafodaLista"/>
        <w:spacing w:before="100" w:beforeAutospacing="1" w:after="100" w:afterAutospacing="1"/>
        <w:ind w:left="0" w:firstLine="0"/>
        <w:jc w:val="center"/>
        <w:rPr>
          <w:b/>
        </w:rPr>
      </w:pPr>
      <w:r>
        <w:rPr>
          <w:b/>
        </w:rPr>
        <w:t>VEREADOR – PP</w:t>
      </w:r>
    </w:p>
    <w:p w:rsidR="0026723C" w:rsidRPr="0026723C" w:rsidRDefault="0026723C" w:rsidP="0026723C">
      <w:pPr>
        <w:pStyle w:val="PargrafodaLista"/>
        <w:spacing w:before="100" w:beforeAutospacing="1" w:after="100" w:afterAutospacing="1"/>
        <w:ind w:left="0"/>
        <w:jc w:val="center"/>
        <w:rPr>
          <w:b/>
        </w:rPr>
      </w:pPr>
    </w:p>
    <w:sectPr w:rsidR="0026723C" w:rsidRPr="0026723C">
      <w:headerReference w:type="default" r:id="rId8"/>
      <w:footerReference w:type="default" r:id="rId9"/>
      <w:pgSz w:w="11910" w:h="16840"/>
      <w:pgMar w:top="2000" w:right="992" w:bottom="1880" w:left="1133" w:header="0" w:footer="168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661" w:rsidRDefault="00652661">
      <w:r>
        <w:separator/>
      </w:r>
    </w:p>
  </w:endnote>
  <w:endnote w:type="continuationSeparator" w:id="0">
    <w:p w:rsidR="00652661" w:rsidRDefault="0065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2A" w:rsidRDefault="00CB47D9">
    <w:pPr>
      <w:pStyle w:val="Corpodetexto"/>
      <w:spacing w:line="14" w:lineRule="auto"/>
      <w:rPr>
        <w:sz w:val="20"/>
      </w:rPr>
    </w:pPr>
    <w:r>
      <w:rPr>
        <w:noProof/>
        <w:sz w:val="20"/>
        <w:lang w:val="pt-BR" w:eastAsia="pt-BR"/>
      </w:rPr>
      <w:drawing>
        <wp:anchor distT="0" distB="0" distL="0" distR="0" simplePos="0" relativeHeight="251659264" behindDoc="1" locked="0" layoutInCell="1" allowOverlap="1">
          <wp:simplePos x="0" y="0"/>
          <wp:positionH relativeFrom="page">
            <wp:posOffset>0</wp:posOffset>
          </wp:positionH>
          <wp:positionV relativeFrom="page">
            <wp:posOffset>9494049</wp:posOffset>
          </wp:positionV>
          <wp:extent cx="7559675" cy="1153630"/>
          <wp:effectExtent l="0" t="0" r="0" b="0"/>
          <wp:wrapNone/>
          <wp:docPr id="9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59675" cy="11536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661" w:rsidRDefault="00652661">
      <w:r>
        <w:separator/>
      </w:r>
    </w:p>
  </w:footnote>
  <w:footnote w:type="continuationSeparator" w:id="0">
    <w:p w:rsidR="00652661" w:rsidRDefault="006526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2A" w:rsidRDefault="00CB47D9">
    <w:pPr>
      <w:pStyle w:val="Corpodetexto"/>
      <w:spacing w:line="14" w:lineRule="auto"/>
      <w:rPr>
        <w:sz w:val="20"/>
      </w:rPr>
    </w:pPr>
    <w:r>
      <w:rPr>
        <w:noProof/>
        <w:sz w:val="20"/>
        <w:lang w:val="pt-BR" w:eastAsia="pt-BR"/>
      </w:rPr>
      <w:drawing>
        <wp:anchor distT="0" distB="0" distL="0" distR="0" simplePos="0" relativeHeight="251656192" behindDoc="1" locked="0" layoutInCell="1" allowOverlap="1">
          <wp:simplePos x="0" y="0"/>
          <wp:positionH relativeFrom="page">
            <wp:posOffset>314193</wp:posOffset>
          </wp:positionH>
          <wp:positionV relativeFrom="page">
            <wp:posOffset>0</wp:posOffset>
          </wp:positionV>
          <wp:extent cx="7245481" cy="1202054"/>
          <wp:effectExtent l="0" t="0" r="0" b="0"/>
          <wp:wrapNone/>
          <wp:docPr id="9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245481" cy="12020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15B"/>
    <w:multiLevelType w:val="hybridMultilevel"/>
    <w:tmpl w:val="A25AD18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4549D9"/>
    <w:multiLevelType w:val="hybridMultilevel"/>
    <w:tmpl w:val="8326A6EC"/>
    <w:lvl w:ilvl="0" w:tplc="1AC0B39E">
      <w:start w:val="1"/>
      <w:numFmt w:val="upperRoman"/>
      <w:lvlText w:val="%1-"/>
      <w:lvlJc w:val="left"/>
      <w:pPr>
        <w:ind w:left="1083" w:hanging="721"/>
        <w:jc w:val="left"/>
      </w:pPr>
      <w:rPr>
        <w:rFonts w:ascii="Arial" w:eastAsia="Arial" w:hAnsi="Arial" w:cs="Arial" w:hint="default"/>
        <w:b/>
        <w:bCs/>
        <w:i w:val="0"/>
        <w:iCs w:val="0"/>
        <w:spacing w:val="-2"/>
        <w:w w:val="100"/>
        <w:sz w:val="24"/>
        <w:szCs w:val="24"/>
        <w:lang w:val="pt-PT" w:eastAsia="en-US" w:bidi="ar-SA"/>
      </w:rPr>
    </w:lvl>
    <w:lvl w:ilvl="1" w:tplc="573E60EE">
      <w:numFmt w:val="bullet"/>
      <w:lvlText w:val="•"/>
      <w:lvlJc w:val="left"/>
      <w:pPr>
        <w:ind w:left="1950" w:hanging="721"/>
      </w:pPr>
      <w:rPr>
        <w:rFonts w:hint="default"/>
        <w:lang w:val="pt-PT" w:eastAsia="en-US" w:bidi="ar-SA"/>
      </w:rPr>
    </w:lvl>
    <w:lvl w:ilvl="2" w:tplc="0786EFA2">
      <w:numFmt w:val="bullet"/>
      <w:lvlText w:val="•"/>
      <w:lvlJc w:val="left"/>
      <w:pPr>
        <w:ind w:left="2820" w:hanging="721"/>
      </w:pPr>
      <w:rPr>
        <w:rFonts w:hint="default"/>
        <w:lang w:val="pt-PT" w:eastAsia="en-US" w:bidi="ar-SA"/>
      </w:rPr>
    </w:lvl>
    <w:lvl w:ilvl="3" w:tplc="C812DAD6">
      <w:numFmt w:val="bullet"/>
      <w:lvlText w:val="•"/>
      <w:lvlJc w:val="left"/>
      <w:pPr>
        <w:ind w:left="3690" w:hanging="721"/>
      </w:pPr>
      <w:rPr>
        <w:rFonts w:hint="default"/>
        <w:lang w:val="pt-PT" w:eastAsia="en-US" w:bidi="ar-SA"/>
      </w:rPr>
    </w:lvl>
    <w:lvl w:ilvl="4" w:tplc="DAF6C416">
      <w:numFmt w:val="bullet"/>
      <w:lvlText w:val="•"/>
      <w:lvlJc w:val="left"/>
      <w:pPr>
        <w:ind w:left="4560" w:hanging="721"/>
      </w:pPr>
      <w:rPr>
        <w:rFonts w:hint="default"/>
        <w:lang w:val="pt-PT" w:eastAsia="en-US" w:bidi="ar-SA"/>
      </w:rPr>
    </w:lvl>
    <w:lvl w:ilvl="5" w:tplc="2C6A276E">
      <w:numFmt w:val="bullet"/>
      <w:lvlText w:val="•"/>
      <w:lvlJc w:val="left"/>
      <w:pPr>
        <w:ind w:left="5430" w:hanging="721"/>
      </w:pPr>
      <w:rPr>
        <w:rFonts w:hint="default"/>
        <w:lang w:val="pt-PT" w:eastAsia="en-US" w:bidi="ar-SA"/>
      </w:rPr>
    </w:lvl>
    <w:lvl w:ilvl="6" w:tplc="290AC938">
      <w:numFmt w:val="bullet"/>
      <w:lvlText w:val="•"/>
      <w:lvlJc w:val="left"/>
      <w:pPr>
        <w:ind w:left="6300" w:hanging="721"/>
      </w:pPr>
      <w:rPr>
        <w:rFonts w:hint="default"/>
        <w:lang w:val="pt-PT" w:eastAsia="en-US" w:bidi="ar-SA"/>
      </w:rPr>
    </w:lvl>
    <w:lvl w:ilvl="7" w:tplc="ED209308">
      <w:numFmt w:val="bullet"/>
      <w:lvlText w:val="•"/>
      <w:lvlJc w:val="left"/>
      <w:pPr>
        <w:ind w:left="7170" w:hanging="721"/>
      </w:pPr>
      <w:rPr>
        <w:rFonts w:hint="default"/>
        <w:lang w:val="pt-PT" w:eastAsia="en-US" w:bidi="ar-SA"/>
      </w:rPr>
    </w:lvl>
    <w:lvl w:ilvl="8" w:tplc="1012EDFC">
      <w:numFmt w:val="bullet"/>
      <w:lvlText w:val="•"/>
      <w:lvlJc w:val="left"/>
      <w:pPr>
        <w:ind w:left="8040" w:hanging="721"/>
      </w:pPr>
      <w:rPr>
        <w:rFonts w:hint="default"/>
        <w:lang w:val="pt-PT" w:eastAsia="en-US" w:bidi="ar-SA"/>
      </w:rPr>
    </w:lvl>
  </w:abstractNum>
  <w:abstractNum w:abstractNumId="2" w15:restartNumberingAfterBreak="0">
    <w:nsid w:val="02733739"/>
    <w:multiLevelType w:val="hybridMultilevel"/>
    <w:tmpl w:val="7F207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E46B33"/>
    <w:multiLevelType w:val="hybridMultilevel"/>
    <w:tmpl w:val="81F2A84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099E1091"/>
    <w:multiLevelType w:val="hybridMultilevel"/>
    <w:tmpl w:val="89EA3B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3C5652"/>
    <w:multiLevelType w:val="hybridMultilevel"/>
    <w:tmpl w:val="A3E88EFC"/>
    <w:lvl w:ilvl="0" w:tplc="4DA2D450">
      <w:start w:val="1"/>
      <w:numFmt w:val="upperRoman"/>
      <w:lvlText w:val="%1-"/>
      <w:lvlJc w:val="left"/>
      <w:pPr>
        <w:ind w:left="1080" w:hanging="72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34736C"/>
    <w:multiLevelType w:val="hybridMultilevel"/>
    <w:tmpl w:val="A092A2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F1777C"/>
    <w:multiLevelType w:val="hybridMultilevel"/>
    <w:tmpl w:val="A30EBA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D5E1AE3"/>
    <w:multiLevelType w:val="multilevel"/>
    <w:tmpl w:val="523428F2"/>
    <w:lvl w:ilvl="0">
      <w:start w:val="1"/>
      <w:numFmt w:val="lowerLetter"/>
      <w:lvlText w:val="%1)"/>
      <w:lvlJc w:val="left"/>
      <w:pPr>
        <w:ind w:left="1407" w:hanging="360"/>
      </w:pPr>
    </w:lvl>
    <w:lvl w:ilvl="1">
      <w:start w:val="1"/>
      <w:numFmt w:val="lowerLetter"/>
      <w:lvlText w:val="%2."/>
      <w:lvlJc w:val="left"/>
      <w:pPr>
        <w:ind w:left="2127" w:hanging="360"/>
      </w:pPr>
    </w:lvl>
    <w:lvl w:ilvl="2">
      <w:start w:val="1"/>
      <w:numFmt w:val="lowerRoman"/>
      <w:lvlText w:val="%3."/>
      <w:lvlJc w:val="right"/>
      <w:pPr>
        <w:ind w:left="2847" w:hanging="180"/>
      </w:pPr>
    </w:lvl>
    <w:lvl w:ilvl="3">
      <w:start w:val="1"/>
      <w:numFmt w:val="decimal"/>
      <w:lvlText w:val="%4."/>
      <w:lvlJc w:val="left"/>
      <w:pPr>
        <w:ind w:left="3567" w:hanging="360"/>
      </w:pPr>
    </w:lvl>
    <w:lvl w:ilvl="4">
      <w:start w:val="1"/>
      <w:numFmt w:val="lowerLetter"/>
      <w:lvlText w:val="%5."/>
      <w:lvlJc w:val="left"/>
      <w:pPr>
        <w:ind w:left="4287" w:hanging="360"/>
      </w:pPr>
    </w:lvl>
    <w:lvl w:ilvl="5">
      <w:start w:val="1"/>
      <w:numFmt w:val="lowerRoman"/>
      <w:lvlText w:val="%6."/>
      <w:lvlJc w:val="right"/>
      <w:pPr>
        <w:ind w:left="5007" w:hanging="180"/>
      </w:pPr>
    </w:lvl>
    <w:lvl w:ilvl="6">
      <w:start w:val="1"/>
      <w:numFmt w:val="decimal"/>
      <w:lvlText w:val="%7."/>
      <w:lvlJc w:val="left"/>
      <w:pPr>
        <w:ind w:left="5727" w:hanging="360"/>
      </w:pPr>
    </w:lvl>
    <w:lvl w:ilvl="7">
      <w:start w:val="1"/>
      <w:numFmt w:val="lowerLetter"/>
      <w:lvlText w:val="%8."/>
      <w:lvlJc w:val="left"/>
      <w:pPr>
        <w:ind w:left="6447" w:hanging="360"/>
      </w:pPr>
    </w:lvl>
    <w:lvl w:ilvl="8">
      <w:start w:val="1"/>
      <w:numFmt w:val="lowerRoman"/>
      <w:lvlText w:val="%9."/>
      <w:lvlJc w:val="right"/>
      <w:pPr>
        <w:ind w:left="7167" w:hanging="180"/>
      </w:pPr>
    </w:lvl>
  </w:abstractNum>
  <w:abstractNum w:abstractNumId="9" w15:restartNumberingAfterBreak="0">
    <w:nsid w:val="2ED607E0"/>
    <w:multiLevelType w:val="hybridMultilevel"/>
    <w:tmpl w:val="FD425C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CF3838"/>
    <w:multiLevelType w:val="hybridMultilevel"/>
    <w:tmpl w:val="133A05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C0ED3"/>
    <w:multiLevelType w:val="hybridMultilevel"/>
    <w:tmpl w:val="4FF4D7E8"/>
    <w:lvl w:ilvl="0" w:tplc="201E62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DD2A92"/>
    <w:multiLevelType w:val="hybridMultilevel"/>
    <w:tmpl w:val="72F47A8E"/>
    <w:lvl w:ilvl="0" w:tplc="E35CF1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8"/>
  </w:num>
  <w:num w:numId="5">
    <w:abstractNumId w:val="3"/>
  </w:num>
  <w:num w:numId="6">
    <w:abstractNumId w:val="6"/>
  </w:num>
  <w:num w:numId="7">
    <w:abstractNumId w:val="0"/>
  </w:num>
  <w:num w:numId="8">
    <w:abstractNumId w:val="5"/>
  </w:num>
  <w:num w:numId="9">
    <w:abstractNumId w:val="12"/>
  </w:num>
  <w:num w:numId="10">
    <w:abstractNumId w:val="7"/>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1192A"/>
    <w:rsid w:val="000256D0"/>
    <w:rsid w:val="000B0C9E"/>
    <w:rsid w:val="000D6934"/>
    <w:rsid w:val="00151967"/>
    <w:rsid w:val="00181073"/>
    <w:rsid w:val="0025494D"/>
    <w:rsid w:val="0026723C"/>
    <w:rsid w:val="00304F3D"/>
    <w:rsid w:val="0033369F"/>
    <w:rsid w:val="00384497"/>
    <w:rsid w:val="004274EC"/>
    <w:rsid w:val="00432A62"/>
    <w:rsid w:val="00437821"/>
    <w:rsid w:val="004407D8"/>
    <w:rsid w:val="0051192A"/>
    <w:rsid w:val="00536353"/>
    <w:rsid w:val="00581787"/>
    <w:rsid w:val="005B78A9"/>
    <w:rsid w:val="00652661"/>
    <w:rsid w:val="006635D4"/>
    <w:rsid w:val="006C4FFE"/>
    <w:rsid w:val="00767957"/>
    <w:rsid w:val="00767AC8"/>
    <w:rsid w:val="00841CF6"/>
    <w:rsid w:val="009624C6"/>
    <w:rsid w:val="009B5AD2"/>
    <w:rsid w:val="009B69E7"/>
    <w:rsid w:val="00A30D57"/>
    <w:rsid w:val="00BD40E1"/>
    <w:rsid w:val="00C16C71"/>
    <w:rsid w:val="00CB47D9"/>
    <w:rsid w:val="00D51CD7"/>
    <w:rsid w:val="00D969D5"/>
    <w:rsid w:val="00E33048"/>
    <w:rsid w:val="00F077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8DE99"/>
  <w15:docId w15:val="{34EDFDFB-B820-4BB8-BCBF-DCDEB474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rPr>
  </w:style>
  <w:style w:type="paragraph" w:styleId="Ttulo">
    <w:name w:val="Title"/>
    <w:basedOn w:val="Normal"/>
    <w:uiPriority w:val="1"/>
    <w:qFormat/>
    <w:pPr>
      <w:ind w:left="963"/>
    </w:pPr>
    <w:rPr>
      <w:b/>
      <w:bCs/>
      <w:sz w:val="24"/>
      <w:szCs w:val="24"/>
    </w:rPr>
  </w:style>
  <w:style w:type="paragraph" w:styleId="PargrafodaLista">
    <w:name w:val="List Paragraph"/>
    <w:basedOn w:val="Normal"/>
    <w:uiPriority w:val="34"/>
    <w:qFormat/>
    <w:pPr>
      <w:ind w:left="1082" w:hanging="72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635D4"/>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Fontepargpadro"/>
    <w:link w:val="Cabealho"/>
    <w:uiPriority w:val="99"/>
    <w:rsid w:val="006635D4"/>
    <w:rPr>
      <w:lang w:val="pt-BR"/>
    </w:rPr>
  </w:style>
  <w:style w:type="paragraph" w:styleId="NormalWeb">
    <w:name w:val="Normal (Web)"/>
    <w:basedOn w:val="Normal"/>
    <w:uiPriority w:val="99"/>
    <w:unhideWhenUsed/>
    <w:rsid w:val="0033369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whitespace-normal">
    <w:name w:val="whitespace-normal"/>
    <w:basedOn w:val="Fontepargpadro"/>
    <w:rsid w:val="0033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006000">
      <w:bodyDiv w:val="1"/>
      <w:marLeft w:val="0"/>
      <w:marRight w:val="0"/>
      <w:marTop w:val="0"/>
      <w:marBottom w:val="0"/>
      <w:divBdr>
        <w:top w:val="none" w:sz="0" w:space="0" w:color="auto"/>
        <w:left w:val="none" w:sz="0" w:space="0" w:color="auto"/>
        <w:bottom w:val="none" w:sz="0" w:space="0" w:color="auto"/>
        <w:right w:val="none" w:sz="0" w:space="0" w:color="auto"/>
      </w:divBdr>
    </w:div>
    <w:div w:id="1163813309">
      <w:bodyDiv w:val="1"/>
      <w:marLeft w:val="0"/>
      <w:marRight w:val="0"/>
      <w:marTop w:val="0"/>
      <w:marBottom w:val="0"/>
      <w:divBdr>
        <w:top w:val="none" w:sz="0" w:space="0" w:color="auto"/>
        <w:left w:val="none" w:sz="0" w:space="0" w:color="auto"/>
        <w:bottom w:val="none" w:sz="0" w:space="0" w:color="auto"/>
        <w:right w:val="none" w:sz="0" w:space="0" w:color="auto"/>
      </w:divBdr>
    </w:div>
    <w:div w:id="1518273911">
      <w:bodyDiv w:val="1"/>
      <w:marLeft w:val="0"/>
      <w:marRight w:val="0"/>
      <w:marTop w:val="0"/>
      <w:marBottom w:val="0"/>
      <w:divBdr>
        <w:top w:val="none" w:sz="0" w:space="0" w:color="auto"/>
        <w:left w:val="none" w:sz="0" w:space="0" w:color="auto"/>
        <w:bottom w:val="none" w:sz="0" w:space="0" w:color="auto"/>
        <w:right w:val="none" w:sz="0" w:space="0" w:color="auto"/>
      </w:divBdr>
    </w:div>
    <w:div w:id="1842810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987</Words>
  <Characters>5330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 XEROX 2020</dc:creator>
  <cp:lastModifiedBy>CLIENTE</cp:lastModifiedBy>
  <cp:revision>37</cp:revision>
  <dcterms:created xsi:type="dcterms:W3CDTF">2025-08-13T18:25:00Z</dcterms:created>
  <dcterms:modified xsi:type="dcterms:W3CDTF">2026-03-02T19:12:00Z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vt:lpwstr>
  </property>
  <property fmtid="{D5CDD505-2E9C-101B-9397-08002B2CF9AE}" pid="4" name="LastSaved">
    <vt:filetime>2025-08-13T00:00:00Z</vt:filetime>
  </property>
</Properties>
</file>